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178" w:rsidRPr="00653EE7" w:rsidRDefault="00981C9C" w:rsidP="007F4F7D">
      <w:pPr>
        <w:pStyle w:val="Subtitle"/>
        <w:rPr>
          <w:lang w:val="mk-MK"/>
        </w:rPr>
      </w:pPr>
      <w:r w:rsidRPr="00653EE7">
        <w:rPr>
          <w:lang w:val="mk-MK"/>
        </w:rPr>
        <w:t>јули</w:t>
      </w:r>
      <w:r w:rsidR="007523BB" w:rsidRPr="00653EE7">
        <w:rPr>
          <w:lang w:val="mk-MK"/>
        </w:rPr>
        <w:t>, 2019</w:t>
      </w:r>
    </w:p>
    <w:p w:rsidR="008B1C0D" w:rsidRPr="00653EE7" w:rsidRDefault="008B1C0D" w:rsidP="008B1C0D">
      <w:pPr>
        <w:rPr>
          <w:rFonts w:ascii="StobiSerif Regular" w:hAnsi="StobiSerif Regular"/>
        </w:rPr>
      </w:pPr>
    </w:p>
    <w:p w:rsidR="00F27178" w:rsidRPr="00653EE7" w:rsidRDefault="00F27178" w:rsidP="00981C9C">
      <w:pPr>
        <w:jc w:val="center"/>
        <w:rPr>
          <w:rFonts w:ascii="StobiSerif Regular" w:hAnsi="StobiSerif Regular"/>
          <w:b/>
          <w:sz w:val="28"/>
          <w:szCs w:val="28"/>
          <w:u w:val="single"/>
        </w:rPr>
      </w:pPr>
      <w:r w:rsidRPr="00653EE7">
        <w:rPr>
          <w:rFonts w:ascii="StobiSerif Regular" w:hAnsi="StobiSerif Regular"/>
          <w:b/>
          <w:sz w:val="28"/>
          <w:szCs w:val="28"/>
          <w:u w:val="single"/>
        </w:rPr>
        <w:t>С О О П Ш Т Е Н И Е</w:t>
      </w:r>
    </w:p>
    <w:p w:rsidR="00F27178" w:rsidRPr="00653EE7" w:rsidRDefault="00F27178" w:rsidP="00981C9C">
      <w:pPr>
        <w:rPr>
          <w:sz w:val="22"/>
          <w:szCs w:val="22"/>
        </w:rPr>
      </w:pPr>
    </w:p>
    <w:p w:rsidR="00653EE7" w:rsidRPr="00653EE7" w:rsidRDefault="00653EE7" w:rsidP="00653EE7">
      <w:pPr>
        <w:pStyle w:val="a"/>
        <w:rPr>
          <w:rFonts w:ascii="StobiSerif Regular" w:hAnsi="StobiSerif Regular"/>
          <w:sz w:val="24"/>
          <w:szCs w:val="24"/>
          <w:lang w:val="en-US"/>
        </w:rPr>
      </w:pP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Министерството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за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транспорт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и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врски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известува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дека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согласно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Уредбата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за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начинот</w:t>
      </w:r>
      <w:bookmarkStart w:id="0" w:name="_GoBack"/>
      <w:bookmarkEnd w:id="0"/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распределба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,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дистрибуција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и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ревизија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искористеноста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дозволите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за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меѓународен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превоз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стока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(„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Службен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весник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Република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Македонија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“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бр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. 163/18),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во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член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27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од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истата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е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утврдено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дека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дистрибуцијата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месечните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ЕКМТ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дозволи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ќе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започне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од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месец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август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во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тековната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година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>.</w:t>
      </w:r>
    </w:p>
    <w:p w:rsidR="00653EE7" w:rsidRPr="00653EE7" w:rsidRDefault="00653EE7" w:rsidP="00653EE7">
      <w:pPr>
        <w:pStyle w:val="a"/>
        <w:rPr>
          <w:rFonts w:ascii="StobiSerif Regular" w:hAnsi="StobiSerif Regular"/>
          <w:sz w:val="24"/>
          <w:szCs w:val="24"/>
          <w:lang w:val="en-US"/>
        </w:rPr>
      </w:pP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За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таа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цел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,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Министерството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за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транспорт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и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врски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 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ги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известува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сите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превозници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кои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имаат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во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сопственост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возила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Еуро</w:t>
      </w:r>
      <w:proofErr w:type="spellEnd"/>
      <w:r w:rsidRPr="00653EE7">
        <w:rPr>
          <w:rFonts w:ascii="StobiSerif Regular" w:hAnsi="StobiSerif Regular"/>
          <w:sz w:val="24"/>
          <w:szCs w:val="24"/>
        </w:rPr>
        <w:t xml:space="preserve"> 5</w:t>
      </w:r>
      <w:r w:rsidRPr="00653EE7">
        <w:rPr>
          <w:rFonts w:ascii="StobiSerif Regular" w:hAnsi="StobiSerif Regular"/>
          <w:sz w:val="24"/>
          <w:szCs w:val="24"/>
          <w:lang w:val="en-US"/>
        </w:rPr>
        <w:t xml:space="preserve"> и/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или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Еуро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6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стандард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дека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месечните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  ЕКМТ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дозволи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ќе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дистрибуираат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врз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основа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поднесено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барање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преку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  <w:lang w:val="en-US"/>
        </w:rPr>
        <w:t>посебен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  <w:lang w:val="en-US"/>
        </w:rPr>
        <w:t>електронски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  <w:lang w:val="en-US"/>
        </w:rPr>
        <w:t>систем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,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секој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ден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,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започнува</w:t>
      </w:r>
      <w:proofErr w:type="spellEnd"/>
      <w:r>
        <w:rPr>
          <w:rFonts w:ascii="StobiSerif Regular" w:hAnsi="StobiSerif Regular"/>
          <w:sz w:val="24"/>
          <w:szCs w:val="24"/>
        </w:rPr>
        <w:t>јќи</w:t>
      </w:r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од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01.08.2019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година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 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крајот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годината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во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согласност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 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потребите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превозниците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>.</w:t>
      </w:r>
    </w:p>
    <w:p w:rsidR="00653EE7" w:rsidRPr="00653EE7" w:rsidRDefault="00653EE7" w:rsidP="00653EE7">
      <w:pPr>
        <w:pStyle w:val="a"/>
        <w:rPr>
          <w:rFonts w:ascii="StobiSerif Regular" w:hAnsi="StobiSerif Regular"/>
          <w:sz w:val="24"/>
          <w:szCs w:val="24"/>
          <w:lang w:val="en-US"/>
        </w:rPr>
      </w:pPr>
      <w:proofErr w:type="spellStart"/>
      <w:proofErr w:type="gramStart"/>
      <w:r w:rsidRPr="00653EE7">
        <w:rPr>
          <w:rFonts w:ascii="StobiSerif Regular" w:hAnsi="StobiSerif Regular"/>
          <w:sz w:val="24"/>
          <w:szCs w:val="24"/>
          <w:lang w:val="en-US"/>
        </w:rPr>
        <w:t>Дистрибуцијата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 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на</w:t>
      </w:r>
      <w:proofErr w:type="spellEnd"/>
      <w:proofErr w:type="gram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месечните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ЕКМТ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дозволи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за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2019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година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врши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согласно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член</w:t>
      </w:r>
      <w:proofErr w:type="spellEnd"/>
      <w:r>
        <w:rPr>
          <w:rFonts w:ascii="StobiSerif Regular" w:hAnsi="StobiSerif Regular"/>
          <w:sz w:val="24"/>
          <w:szCs w:val="24"/>
        </w:rPr>
        <w:t xml:space="preserve"> </w:t>
      </w:r>
      <w:r w:rsidRPr="00653EE7">
        <w:rPr>
          <w:rFonts w:ascii="StobiSerif Regular" w:hAnsi="StobiSerif Regular"/>
          <w:sz w:val="24"/>
          <w:szCs w:val="24"/>
          <w:lang w:val="en-US"/>
        </w:rPr>
        <w:t xml:space="preserve">25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став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(6) </w:t>
      </w:r>
      <w:r>
        <w:rPr>
          <w:rFonts w:ascii="StobiSerif Regular" w:hAnsi="StobiSerif Regular"/>
          <w:sz w:val="24"/>
          <w:szCs w:val="24"/>
        </w:rPr>
        <w:t xml:space="preserve">од Уредбата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кој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гласи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:</w:t>
      </w:r>
    </w:p>
    <w:p w:rsidR="00653EE7" w:rsidRDefault="00653EE7" w:rsidP="00653EE7">
      <w:pPr>
        <w:pStyle w:val="a"/>
        <w:rPr>
          <w:rFonts w:ascii="StobiSerif Regular" w:hAnsi="StobiSerif Regular"/>
          <w:sz w:val="24"/>
          <w:szCs w:val="24"/>
        </w:rPr>
      </w:pPr>
      <w:r w:rsidRPr="00653EE7">
        <w:rPr>
          <w:rFonts w:ascii="StobiSerif Regular" w:hAnsi="StobiSerif Regular"/>
          <w:sz w:val="24"/>
          <w:szCs w:val="24"/>
          <w:lang w:val="en-US"/>
        </w:rPr>
        <w:t>„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Месечните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ЕКМТ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дозволи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одобруваат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за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подигање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две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дозволи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секои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четири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слободни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моторни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возила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непокриени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годишни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ЕКМТ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дозволи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соодветен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еуро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стандард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,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односно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две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секои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две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моторни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возила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соодветен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еуро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стандард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за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превозници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кои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користат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годишни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ЕКМТ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дозволи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.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Приоритет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при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одобрување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за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подигање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месечни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ЕКМТ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дозволи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имаат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превозници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кои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користат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годишни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ЕКМТ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дозволи</w:t>
      </w:r>
      <w:proofErr w:type="spellEnd"/>
      <w:proofErr w:type="gramStart"/>
      <w:r w:rsidRPr="00653EE7">
        <w:rPr>
          <w:rFonts w:ascii="StobiSerif Regular" w:hAnsi="StobiSerif Regular"/>
          <w:sz w:val="24"/>
          <w:szCs w:val="24"/>
          <w:lang w:val="en-US"/>
        </w:rPr>
        <w:t>.“</w:t>
      </w:r>
      <w:proofErr w:type="gramEnd"/>
      <w:r>
        <w:rPr>
          <w:rFonts w:ascii="StobiSerif Regular" w:hAnsi="StobiSerif Regular"/>
          <w:sz w:val="24"/>
          <w:szCs w:val="24"/>
        </w:rPr>
        <w:t xml:space="preserve"> </w:t>
      </w:r>
    </w:p>
    <w:p w:rsidR="00653EE7" w:rsidRPr="00653EE7" w:rsidRDefault="00653EE7" w:rsidP="00653EE7">
      <w:pPr>
        <w:pStyle w:val="a"/>
        <w:rPr>
          <w:rFonts w:ascii="StobiSerif Regular" w:hAnsi="StobiSerif Regular"/>
          <w:sz w:val="24"/>
          <w:szCs w:val="24"/>
          <w:lang w:val="en-US"/>
        </w:rPr>
      </w:pP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Во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процесот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одобрување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>/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неодобрување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секое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поединечно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барање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дос</w:t>
      </w:r>
      <w:r>
        <w:rPr>
          <w:rFonts w:ascii="StobiSerif Regular" w:hAnsi="StobiSerif Regular"/>
          <w:sz w:val="24"/>
          <w:szCs w:val="24"/>
          <w:lang w:val="en-US"/>
        </w:rPr>
        <w:t>тавено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  <w:lang w:val="en-US"/>
        </w:rPr>
        <w:t>од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  <w:lang w:val="en-US"/>
        </w:rPr>
        <w:t>страна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  <w:lang w:val="en-US"/>
        </w:rPr>
        <w:t>на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  <w:lang w:val="en-US"/>
        </w:rPr>
        <w:t>превозникот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,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примен</w:t>
      </w:r>
      <w:proofErr w:type="spellEnd"/>
      <w:r>
        <w:rPr>
          <w:rFonts w:ascii="StobiSerif Regular" w:hAnsi="StobiSerif Regular"/>
          <w:sz w:val="24"/>
          <w:szCs w:val="24"/>
        </w:rPr>
        <w:t xml:space="preserve">ува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член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27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став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(2) </w:t>
      </w:r>
      <w:r>
        <w:rPr>
          <w:rFonts w:ascii="StobiSerif Regular" w:hAnsi="StobiSerif Regular"/>
          <w:sz w:val="24"/>
          <w:szCs w:val="24"/>
        </w:rPr>
        <w:t xml:space="preserve">од Уредбата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кој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proofErr w:type="gramStart"/>
      <w:r w:rsidRPr="00653EE7">
        <w:rPr>
          <w:rFonts w:ascii="StobiSerif Regular" w:hAnsi="StobiSerif Regular"/>
          <w:sz w:val="24"/>
          <w:szCs w:val="24"/>
          <w:lang w:val="en-US"/>
        </w:rPr>
        <w:t>гласи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:</w:t>
      </w:r>
      <w:proofErr w:type="gramEnd"/>
    </w:p>
    <w:p w:rsidR="00653EE7" w:rsidRDefault="00653EE7" w:rsidP="00653EE7">
      <w:pPr>
        <w:pStyle w:val="a"/>
        <w:rPr>
          <w:rFonts w:ascii="StobiSerif Regular" w:hAnsi="StobiSerif Regular"/>
          <w:sz w:val="24"/>
          <w:szCs w:val="24"/>
        </w:rPr>
      </w:pPr>
      <w:r w:rsidRPr="00653EE7">
        <w:rPr>
          <w:rFonts w:ascii="StobiSerif Regular" w:hAnsi="StobiSerif Regular"/>
          <w:sz w:val="24"/>
          <w:szCs w:val="24"/>
          <w:lang w:val="en-US"/>
        </w:rPr>
        <w:t> „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За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дистрибуција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поединечни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транспортни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дозволи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и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месечни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ЕКМТ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дозволи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поднесено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барање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од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став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> (1) 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>на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>овој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>член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>на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>превозникот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>му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>се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>проверува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: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број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и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вид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добиени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годишни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ЕКМТ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дозволи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и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процентуална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покриеност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вкупниот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влечен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моторен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возен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парк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годишни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ЕКМТ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дозволи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;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подигнати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поединечни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транспортни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дозволи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вклучувајќи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ги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и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годишните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;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подигнати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месечни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ЕКМТ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дозволи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;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број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правилно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искористени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поединечни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транспортни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дозволи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;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навремено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доставени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извештаи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за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извршени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превози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односно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вратени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листови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од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ЕКМТ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lastRenderedPageBreak/>
        <w:t>дневникот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за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патување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> 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u w:val="single"/>
          <w:lang w:val="en-US"/>
        </w:rPr>
        <w:t>како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u w:val="single"/>
          <w:lang w:val="en-US"/>
        </w:rPr>
        <w:t xml:space="preserve"> и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u w:val="single"/>
          <w:lang w:val="en-US"/>
        </w:rPr>
        <w:t>проверка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u w:val="single"/>
          <w:lang w:val="en-US"/>
        </w:rPr>
        <w:t>на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u w:val="single"/>
          <w:lang w:val="en-US"/>
        </w:rPr>
        <w:t>број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u w:val="single"/>
          <w:lang w:val="en-US"/>
        </w:rPr>
        <w:t>на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u w:val="single"/>
          <w:lang w:val="en-US"/>
        </w:rPr>
        <w:t>вработени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u w:val="single"/>
          <w:lang w:val="en-US"/>
        </w:rPr>
        <w:t>возачи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u w:val="single"/>
          <w:lang w:val="en-US"/>
        </w:rPr>
        <w:t>со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u w:val="single"/>
          <w:lang w:val="en-US"/>
        </w:rPr>
        <w:t>важечки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u w:val="single"/>
          <w:lang w:val="en-US"/>
        </w:rPr>
        <w:t> СПК 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u w:val="single"/>
          <w:lang w:val="en-US"/>
        </w:rPr>
        <w:t>на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u w:val="single"/>
          <w:lang w:val="en-US"/>
        </w:rPr>
        <w:t> 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u w:val="single"/>
          <w:lang w:val="en-US"/>
        </w:rPr>
        <w:t>возач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>, 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>ставени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>во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>сооднос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>со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>број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>на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>влечни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 xml:space="preserve">,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>товарни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>моторни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>возила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>со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>важечки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>извод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>од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>лиценца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>за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>вршење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>на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>меѓународен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>превоз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>на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>стока</w:t>
      </w:r>
      <w:proofErr w:type="spellEnd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>.“</w:t>
      </w:r>
      <w:r>
        <w:rPr>
          <w:rFonts w:ascii="StobiSerif Regular" w:hAnsi="StobiSerif Regular"/>
          <w:sz w:val="24"/>
          <w:szCs w:val="24"/>
        </w:rPr>
        <w:t xml:space="preserve"> </w:t>
      </w:r>
    </w:p>
    <w:p w:rsidR="00653EE7" w:rsidRPr="00653EE7" w:rsidRDefault="00653EE7" w:rsidP="00653EE7">
      <w:pPr>
        <w:pStyle w:val="a"/>
        <w:rPr>
          <w:rFonts w:ascii="StobiSerif Regular" w:hAnsi="StobiSerif Regular"/>
          <w:sz w:val="24"/>
          <w:szCs w:val="24"/>
          <w:lang w:val="en-US"/>
        </w:rPr>
      </w:pP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Министерството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за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транспорт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и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врски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го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задржува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пра</w:t>
      </w:r>
      <w:r>
        <w:rPr>
          <w:rFonts w:ascii="StobiSerif Regular" w:hAnsi="StobiSerif Regular"/>
          <w:sz w:val="24"/>
          <w:szCs w:val="24"/>
          <w:lang w:val="en-US"/>
        </w:rPr>
        <w:t>вото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  <w:lang w:val="en-US"/>
        </w:rPr>
        <w:t>врз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  <w:lang w:val="en-US"/>
        </w:rPr>
        <w:t>основа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  <w:lang w:val="en-US"/>
        </w:rPr>
        <w:t>на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  <w:lang w:val="en-US"/>
        </w:rPr>
        <w:t>ревизија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  <w:lang w:val="en-US"/>
        </w:rPr>
        <w:t>на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> 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искористеноста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дозволите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од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страна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Комисијата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согласно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член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5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од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Уредбата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одреди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број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месечни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ЕКМТ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дозволи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кои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ќе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дистрибуираат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месеци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цел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овозможи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рационално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користење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истите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за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период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од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5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месеци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крајот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годината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>.</w:t>
      </w:r>
    </w:p>
    <w:p w:rsidR="00653EE7" w:rsidRPr="00653EE7" w:rsidRDefault="00653EE7" w:rsidP="00653EE7">
      <w:pPr>
        <w:pStyle w:val="a"/>
        <w:rPr>
          <w:rFonts w:ascii="StobiSerif Regular" w:hAnsi="StobiSerif Regular"/>
          <w:sz w:val="24"/>
          <w:szCs w:val="24"/>
          <w:lang w:val="en-US"/>
        </w:rPr>
      </w:pPr>
    </w:p>
    <w:p w:rsidR="00653EE7" w:rsidRDefault="00653EE7" w:rsidP="00653EE7">
      <w:pPr>
        <w:pStyle w:val="a"/>
        <w:rPr>
          <w:rFonts w:ascii="StobiSerif Regular" w:hAnsi="StobiSerif Regular"/>
          <w:sz w:val="24"/>
          <w:szCs w:val="24"/>
          <w:lang w:val="en-US"/>
        </w:rPr>
      </w:pPr>
      <w:proofErr w:type="spellStart"/>
      <w:r w:rsidRPr="00653EE7">
        <w:rPr>
          <w:rFonts w:ascii="StobiSerif Regular" w:hAnsi="StobiSerif Regular"/>
          <w:b/>
          <w:bCs/>
          <w:sz w:val="24"/>
          <w:szCs w:val="24"/>
          <w:lang w:val="en-US"/>
        </w:rPr>
        <w:t>Напомена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: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користењето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ме</w:t>
      </w:r>
      <w:r>
        <w:rPr>
          <w:rFonts w:ascii="StobiSerif Regular" w:hAnsi="StobiSerif Regular"/>
          <w:sz w:val="24"/>
          <w:szCs w:val="24"/>
          <w:lang w:val="en-US"/>
        </w:rPr>
        <w:t>сечните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 xml:space="preserve"> ЕКМТ </w:t>
      </w:r>
      <w:proofErr w:type="spellStart"/>
      <w:r>
        <w:rPr>
          <w:rFonts w:ascii="StobiSerif Regular" w:hAnsi="StobiSerif Regular"/>
          <w:sz w:val="24"/>
          <w:szCs w:val="24"/>
          <w:lang w:val="en-US"/>
        </w:rPr>
        <w:t>дозволи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 xml:space="preserve"> е </w:t>
      </w:r>
      <w:proofErr w:type="spellStart"/>
      <w:r>
        <w:rPr>
          <w:rFonts w:ascii="StobiSerif Regular" w:hAnsi="StobiSerif Regular"/>
          <w:sz w:val="24"/>
          <w:szCs w:val="24"/>
          <w:lang w:val="en-US"/>
        </w:rPr>
        <w:t>согласно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 xml:space="preserve"> </w:t>
      </w:r>
      <w:r w:rsidRPr="00653EE7">
        <w:rPr>
          <w:rFonts w:ascii="StobiSerif Regular" w:hAnsi="StobiSerif Regular"/>
          <w:sz w:val="24"/>
          <w:szCs w:val="24"/>
          <w:lang w:val="en-US"/>
        </w:rPr>
        <w:t>ПРИРАЧНИК ЗА КОРИСНИКОТ ИЗДАДЕН ОД ЕКМТ</w:t>
      </w:r>
      <w:r>
        <w:rPr>
          <w:rFonts w:ascii="StobiSerif Regular" w:hAnsi="StobiSerif Regular"/>
          <w:sz w:val="24"/>
          <w:szCs w:val="24"/>
          <w:lang w:val="en-US"/>
        </w:rPr>
        <w:t> </w:t>
      </w:r>
      <w:proofErr w:type="spellStart"/>
      <w:r>
        <w:rPr>
          <w:rFonts w:ascii="StobiSerif Regular" w:hAnsi="StobiSerif Regular"/>
          <w:sz w:val="24"/>
          <w:szCs w:val="24"/>
          <w:lang w:val="en-US"/>
        </w:rPr>
        <w:t>Секретариј</w:t>
      </w:r>
      <w:r w:rsidRPr="00653EE7">
        <w:rPr>
          <w:rFonts w:ascii="StobiSerif Regular" w:hAnsi="StobiSerif Regular"/>
          <w:sz w:val="24"/>
          <w:szCs w:val="24"/>
          <w:lang w:val="en-US"/>
        </w:rPr>
        <w:t>атот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 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при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што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важат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истите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правила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како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и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за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годишни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ЕКМТ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дозволи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, а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дозволата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во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  <w:lang w:val="en-US"/>
        </w:rPr>
        <w:t>возилото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  <w:lang w:val="en-US"/>
        </w:rPr>
        <w:t>задолжително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  <w:lang w:val="en-US"/>
        </w:rPr>
        <w:t>се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  <w:lang w:val="en-US"/>
        </w:rPr>
        <w:t>носат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 xml:space="preserve">: </w:t>
      </w:r>
      <w:r>
        <w:rPr>
          <w:rFonts w:ascii="StobiSerif Regular" w:hAnsi="StobiSerif Regular"/>
          <w:sz w:val="24"/>
          <w:szCs w:val="24"/>
        </w:rPr>
        <w:t>ЕКМТ</w:t>
      </w:r>
      <w:r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  <w:lang w:val="en-US"/>
        </w:rPr>
        <w:t>дневник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;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Сертификат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за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сообразност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  <w:lang w:val="en-US"/>
        </w:rPr>
        <w:t>за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  <w:lang w:val="en-US"/>
        </w:rPr>
        <w:t>влечно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  <w:lang w:val="en-US"/>
        </w:rPr>
        <w:t>или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  <w:lang w:val="en-US"/>
        </w:rPr>
        <w:t>товарно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  <w:lang w:val="en-US"/>
        </w:rPr>
        <w:t>возило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 xml:space="preserve"> (</w:t>
      </w:r>
      <w:proofErr w:type="spellStart"/>
      <w:r>
        <w:rPr>
          <w:rFonts w:ascii="StobiSerif Regular" w:hAnsi="StobiSerif Regular"/>
          <w:sz w:val="24"/>
          <w:szCs w:val="24"/>
          <w:lang w:val="en-US"/>
        </w:rPr>
        <w:t>зелена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  <w:lang w:val="en-US"/>
        </w:rPr>
        <w:t>боја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 xml:space="preserve">), а </w:t>
      </w:r>
      <w:proofErr w:type="spellStart"/>
      <w:r>
        <w:rPr>
          <w:rFonts w:ascii="StobiSerif Regular" w:hAnsi="StobiSerif Regular"/>
          <w:sz w:val="24"/>
          <w:szCs w:val="24"/>
          <w:lang w:val="en-US"/>
        </w:rPr>
        <w:t>за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  <w:lang w:val="en-US"/>
        </w:rPr>
        <w:t>приклучното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  <w:lang w:val="en-US"/>
        </w:rPr>
        <w:t>возило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 xml:space="preserve"> (</w:t>
      </w:r>
      <w:r>
        <w:rPr>
          <w:rFonts w:ascii="StobiSerif Regular" w:hAnsi="StobiSerif Regular"/>
          <w:sz w:val="24"/>
          <w:szCs w:val="24"/>
        </w:rPr>
        <w:t>ж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олта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боја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)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за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двете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возила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задолжително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носи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ЕКМТ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тест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сертификат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> 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за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подготвеност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за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сообраќај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товарни</w:t>
      </w:r>
      <w:r>
        <w:rPr>
          <w:rFonts w:ascii="StobiSerif Regular" w:hAnsi="StobiSerif Regular"/>
          <w:sz w:val="24"/>
          <w:szCs w:val="24"/>
          <w:lang w:val="en-US"/>
        </w:rPr>
        <w:t>те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  <w:lang w:val="en-US"/>
        </w:rPr>
        <w:t>моторни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 xml:space="preserve"> и </w:t>
      </w:r>
      <w:proofErr w:type="spellStart"/>
      <w:r>
        <w:rPr>
          <w:rFonts w:ascii="StobiSerif Regular" w:hAnsi="StobiSerif Regular"/>
          <w:sz w:val="24"/>
          <w:szCs w:val="24"/>
          <w:lang w:val="en-US"/>
        </w:rPr>
        <w:t>приклучни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4"/>
          <w:szCs w:val="24"/>
          <w:lang w:val="en-US"/>
        </w:rPr>
        <w:t>возила</w:t>
      </w:r>
      <w:proofErr w:type="spellEnd"/>
      <w:r>
        <w:rPr>
          <w:rFonts w:ascii="StobiSerif Regular" w:hAnsi="StobiSerif Regular"/>
          <w:sz w:val="24"/>
          <w:szCs w:val="24"/>
          <w:lang w:val="en-US"/>
        </w:rPr>
        <w:t xml:space="preserve"> (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бела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боја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)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со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рок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важење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кој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е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соодветен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важноста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на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ЕКМТ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дозволата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 xml:space="preserve"> и </w:t>
      </w:r>
      <w:proofErr w:type="spellStart"/>
      <w:r w:rsidRPr="00653EE7">
        <w:rPr>
          <w:rFonts w:ascii="StobiSerif Regular" w:hAnsi="StobiSerif Regular"/>
          <w:sz w:val="24"/>
          <w:szCs w:val="24"/>
          <w:lang w:val="en-US"/>
        </w:rPr>
        <w:t>повеќе</w:t>
      </w:r>
      <w:proofErr w:type="spellEnd"/>
      <w:r w:rsidRPr="00653EE7">
        <w:rPr>
          <w:rFonts w:ascii="StobiSerif Regular" w:hAnsi="StobiSerif Regular"/>
          <w:sz w:val="24"/>
          <w:szCs w:val="24"/>
          <w:lang w:val="en-US"/>
        </w:rPr>
        <w:t>.</w:t>
      </w:r>
    </w:p>
    <w:p w:rsidR="00653EE7" w:rsidRPr="00653EE7" w:rsidRDefault="00653EE7" w:rsidP="00653EE7">
      <w:pPr>
        <w:pStyle w:val="a"/>
        <w:rPr>
          <w:rFonts w:ascii="StobiSerif Regular" w:hAnsi="StobiSerif Regular"/>
          <w:sz w:val="24"/>
          <w:szCs w:val="24"/>
          <w:lang w:val="en-US"/>
        </w:rPr>
      </w:pPr>
    </w:p>
    <w:p w:rsidR="00981C9C" w:rsidRPr="00653EE7" w:rsidRDefault="00981C9C" w:rsidP="008B1C0D">
      <w:pPr>
        <w:pStyle w:val="a"/>
        <w:rPr>
          <w:rFonts w:ascii="StobiSerif Regular" w:hAnsi="StobiSerif Regular"/>
          <w:sz w:val="24"/>
          <w:szCs w:val="24"/>
        </w:rPr>
      </w:pPr>
      <w:r w:rsidRPr="00653EE7">
        <w:rPr>
          <w:rFonts w:ascii="StobiSerif Regular" w:hAnsi="StobiSerif Regular"/>
          <w:sz w:val="24"/>
          <w:szCs w:val="24"/>
        </w:rPr>
        <w:t>Со почит,</w:t>
      </w:r>
    </w:p>
    <w:p w:rsidR="00981C9C" w:rsidRPr="00653EE7" w:rsidRDefault="00981C9C" w:rsidP="008B1C0D">
      <w:pPr>
        <w:pStyle w:val="a"/>
        <w:rPr>
          <w:rFonts w:ascii="StobiSerif Regular" w:hAnsi="StobiSerif Regular"/>
          <w:sz w:val="24"/>
          <w:szCs w:val="24"/>
        </w:rPr>
      </w:pPr>
    </w:p>
    <w:p w:rsidR="00BD2475" w:rsidRPr="00653EE7" w:rsidRDefault="00981C9C" w:rsidP="008B1C0D">
      <w:pPr>
        <w:pStyle w:val="a"/>
        <w:rPr>
          <w:rFonts w:ascii="StobiSerif Regular" w:hAnsi="StobiSerif Regular"/>
          <w:sz w:val="24"/>
          <w:szCs w:val="24"/>
        </w:rPr>
      </w:pPr>
      <w:r w:rsidRPr="00653EE7">
        <w:rPr>
          <w:rFonts w:ascii="StobiSerif Regular" w:hAnsi="StobiSerif Regular"/>
          <w:sz w:val="24"/>
          <w:szCs w:val="24"/>
        </w:rPr>
        <w:t>МИНИСТЕРСТВО ЗА ТРАНСПОРТ И ВРСКИ</w:t>
      </w:r>
    </w:p>
    <w:sectPr w:rsidR="00BD2475" w:rsidRPr="00653EE7" w:rsidSect="0089182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3312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C7F" w:rsidRDefault="007F5C7F" w:rsidP="00DC5C24">
      <w:r>
        <w:separator/>
      </w:r>
    </w:p>
  </w:endnote>
  <w:endnote w:type="continuationSeparator" w:id="0">
    <w:p w:rsidR="007F5C7F" w:rsidRDefault="007F5C7F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Medium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2D1" w:rsidRPr="000F2E5D" w:rsidRDefault="00E91867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4550410</wp:posOffset>
              </wp:positionH>
              <wp:positionV relativeFrom="paragraph">
                <wp:posOffset>-400050</wp:posOffset>
              </wp:positionV>
              <wp:extent cx="1215390" cy="370205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B7E98" w:rsidRDefault="008B7E98" w:rsidP="008B7E98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t>+</w:t>
                          </w:r>
                          <w:r w:rsidR="00FA4C4C">
                            <w:t>389 2 3145 835</w:t>
                          </w:r>
                        </w:p>
                        <w:p w:rsidR="00891824" w:rsidRPr="008B7E98" w:rsidRDefault="008B7E98" w:rsidP="006F5CB5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t>www</w:t>
                          </w:r>
                          <w:r>
                            <w:rPr>
                              <w:lang w:val="en-US"/>
                            </w:rPr>
                            <w:t>.mtc.gov.mk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358.3pt;margin-top:-31.5pt;width:95.7pt;height:2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zxkPAIAAHUEAAAOAAAAZHJzL2Uyb0RvYy54bWysVEtv2zAMvg/YfxB0X2zn0a5GnCJrkWFA&#10;0BZIhp4VWYqNWaImKbGzXz9KdtKg22nYRRbJT3x9pOf3nWrIUVhXgy5oNkopEZpDWet9Qb9vV58+&#10;U+I80yVrQIuCnoSj94uPH+atycUYKmhKYQk60S5vTUEr702eJI5XQjE3AiM0GiVYxTyKdp+UlrXo&#10;XTXJOE1vkhZsaSxw4RxqH3sjXUT/Ugrun6V0wpOmoJibj6eN5y6cyWLO8r1lpqr5kAb7hywUqzUG&#10;vbh6ZJ6Rg63/cKVqbsGB9CMOKgEpay5iDVhNlr6rZlMxI2It2BxnLm1y/88tfzq+WFKXBZ1NKdFM&#10;IUdb0XnyBTqCKuxPa1yOsI1BoO9QjzzHWp1ZA//hEJJcYfoHDtGhH520KnyxUoIPkYLTpe0hDA/e&#10;xtlscocmjrbJbTpOZyFu8vbaWOe/ClAkXApqkdaYATuune+hZ0gIpmFVNw3qWd5o0hb0ZjJL44OL&#10;BZ03eki8zzWU4LtdF5uRnQvfQXnCui30k+MMX9WYw5o5/8IsjgqmjePvn/GQDWAsGG6UVGB//U0f&#10;8MggWilpcfQK6n4emBWUNN80cnuXTadhVqMwnd2OUbDXlt21RR/UA+B0Z7hohsdrwPvmfJUW1Ctu&#10;yTJERRPTHGMXlHt7Fh58vxK4Z1wslxGG82mYX+uN4WfCQ4+33SuzZiDCI4VPcB5Tlr/jo8f2jCwP&#10;HmQdyQqd7vs6EICzHeke9jAsz7UcUW9/i8VvAAAA//8DAFBLAwQUAAYACAAAACEAZQT2FuIAAAAK&#10;AQAADwAAAGRycy9kb3ducmV2LnhtbEyPzU7DQAyE70i8w8pIXFC7Ka3SErKpUMWfEBIi9AGcxCQR&#10;WW/IbtrA02NOcLM9o/E36XaynTrQ4FvHBhbzCBRx6aqWawP7t7vZBpQPyBV2jsnAF3nYZqcnKSaV&#10;O/IrHfJQKwlhn6CBJoQ+0dqXDVn0c9cTi/buBotB1qHW1YBHCbedvoyiWFtsWT402NOuofIjH60B&#10;/uyfdxe3Y/5d2PvV8qHFl/3jkzHnZ9PNNahAU/gzwy++oEMmTIUbufKqM7BexLFYDczipZQSx1W0&#10;kaGQy2oNOkv1/wrZDwAAAP//AwBQSwECLQAUAAYACAAAACEAtoM4kv4AAADhAQAAEwAAAAAAAAAA&#10;AAAAAAAAAAAAW0NvbnRlbnRfVHlwZXNdLnhtbFBLAQItABQABgAIAAAAIQA4/SH/1gAAAJQBAAAL&#10;AAAAAAAAAAAAAAAAAC8BAABfcmVscy8ucmVsc1BLAQItABQABgAIAAAAIQBI/zxkPAIAAHUEAAAO&#10;AAAAAAAAAAAAAAAAAC4CAABkcnMvZTJvRG9jLnhtbFBLAQItABQABgAIAAAAIQBlBPYW4gAAAAoB&#10;AAAPAAAAAAAAAAAAAAAAAJYEAABkcnMvZG93bnJldi54bWxQSwUGAAAAAAQABADzAAAApQUAAAAA&#10;" filled="f" stroked="f" strokeweight=".5pt">
              <v:path arrowok="t"/>
              <v:textbox>
                <w:txbxContent>
                  <w:p w:rsidR="008B7E98" w:rsidRDefault="008B7E98" w:rsidP="008B7E98">
                    <w:pPr>
                      <w:pStyle w:val="FooterTXT"/>
                      <w:rPr>
                        <w:lang w:val="en-US"/>
                      </w:rPr>
                    </w:pPr>
                    <w:r>
                      <w:t>+</w:t>
                    </w:r>
                    <w:r w:rsidR="00FA4C4C">
                      <w:t>389 2 3145 835</w:t>
                    </w:r>
                  </w:p>
                  <w:p w:rsidR="00891824" w:rsidRPr="008B7E98" w:rsidRDefault="008B7E98" w:rsidP="006F5CB5">
                    <w:pPr>
                      <w:pStyle w:val="FooterTXT"/>
                      <w:rPr>
                        <w:lang w:val="en-US"/>
                      </w:rPr>
                    </w:pPr>
                    <w:r>
                      <w:t>www</w:t>
                    </w:r>
                    <w:r>
                      <w:rPr>
                        <w:lang w:val="en-US"/>
                      </w:rPr>
                      <w:t>.mtc.gov.mk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2353310</wp:posOffset>
              </wp:positionH>
              <wp:positionV relativeFrom="paragraph">
                <wp:posOffset>-403860</wp:posOffset>
              </wp:positionV>
              <wp:extent cx="1955800" cy="358140"/>
              <wp:effectExtent l="0" t="0" r="0" b="381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3FCF" w:rsidRPr="00F23FCF" w:rsidRDefault="006F5CB5" w:rsidP="00F23FCF">
                          <w:pPr>
                            <w:pStyle w:val="FooterTXT"/>
                          </w:pPr>
                          <w:r>
                            <w:t xml:space="preserve">Ул. </w:t>
                          </w:r>
                          <w:r w:rsidRPr="006F5CB5">
                            <w:t>„</w:t>
                          </w:r>
                          <w:r w:rsidR="008B7E98">
                            <w:t>Даме Груев</w:t>
                          </w:r>
                          <w:r w:rsidRPr="006F5CB5">
                            <w:t xml:space="preserve">“ бр. </w:t>
                          </w:r>
                          <w:r w:rsidR="00645900">
                            <w:t>6</w:t>
                          </w:r>
                          <w:r w:rsidR="003C3AC5">
                            <w:t xml:space="preserve">, </w:t>
                          </w:r>
                          <w:r w:rsidR="00F23FCF" w:rsidRPr="00F23FCF">
                            <w:t xml:space="preserve">Скопје </w:t>
                          </w:r>
                        </w:p>
                        <w:p w:rsidR="00F23FCF" w:rsidRPr="00F23FCF" w:rsidRDefault="00F23FCF" w:rsidP="00F23FCF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3" o:spid="_x0000_s1028" type="#_x0000_t202" style="position:absolute;left:0;text-align:left;margin-left:185.3pt;margin-top:-31.8pt;width:154pt;height:2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N9QOwIAAHUEAAAOAAAAZHJzL2Uyb0RvYy54bWysVEtv2zAMvg/YfxB0X+w83KVGnCJrkWFA&#10;0BZIhp4VWYqNWaImKbG7Xz9KjtOg22nYRRbFj8+P9OKuUw05Cetq0AUdj1JKhOZQ1vpQ0O+79ac5&#10;Jc4zXbIGtCjoq3D0bvnxw6I1uZhABU0pLEEn2uWtKWjlvcmTxPFKKOZGYIRGpQSrmEfRHpLSsha9&#10;qyaZpOlN0oItjQUunMPXh15Jl9G/lIL7Jymd8KQpKObm42njuQ9nslyw/GCZqWp+ToP9QxaK1RqD&#10;Xlw9MM/I0dZ/uFI1t+BA+hEHlYCUNRexBqxmnL6rZlsxI2It2BxnLm1y/88tfzw9W1KXBc2mlGim&#10;kKOd6Dz5Ah3BJ+xPa1yOsK1BoO/wHXmOtTqzAf7DISS5wvQGDtGhH520KnyxUoKGSMHrpe0hDA/e&#10;brNsnqKKo26azcezyEvyZm2s818FKBIuBbVIa8yAnTbOh/gsHyAhmIZ13TSR2kaTtqA30yyNBhcN&#10;WjT6nHifayjBd/suNmMyFL6H8hXrttBPjjN8XWMOG+b8M7M4Kpg2jr9/wkM2gLHgfKOkAvvrb+8B&#10;jwyilpIWR6+g7ueRWUFJ800jt7fjGXaA+CjMss8TFOy1Zn+t0Ud1DzjdY1w0w+M14H0zXKUF9YJb&#10;sgpRUcU0x9gF5d4Owr3vVwL3jIvVKsJwPg3zG701fCA89HjXvTBrzkR4pPARhjFl+Ts+emzPyOro&#10;QdaRrNDpvq9nAnC2I4fnPQzLcy1H1NvfYvkbAAD//wMAUEsDBBQABgAIAAAAIQDuARoM4QAAAAoB&#10;AAAPAAAAZHJzL2Rvd25yZXYueG1sTI/dSsNAEIXvBd9hGcEbaTc2kpQ0myLFP0QQ0z7AJLsmwexs&#10;zG7a6NM7XundmTmHM9/k29n24mhG3zlScL2MQBiqne6oUXDY3y/WIHxA0tg7Mgq+jIdtcX6WY6bd&#10;id7MsQyN4BLyGSpoQxgyKX3dGot+6QZD7L270WLgcWykHvHE5baXqyhKpMWO+EKLg9m1pv4oJ6uA&#10;PoeX3dXdVH5X9uEmfuzw9fD0rNTlxXy7ARHMHP7C8IvP6FAwU+Um0l70CuI0SjiqYJHELDiRpGsW&#10;FW/SFcgil/9fKH4AAAD//wMAUEsBAi0AFAAGAAgAAAAhALaDOJL+AAAA4QEAABMAAAAAAAAAAAAA&#10;AAAAAAAAAFtDb250ZW50X1R5cGVzXS54bWxQSwECLQAUAAYACAAAACEAOP0h/9YAAACUAQAACwAA&#10;AAAAAAAAAAAAAAAvAQAAX3JlbHMvLnJlbHNQSwECLQAUAAYACAAAACEAtpTfUDsCAAB1BAAADgAA&#10;AAAAAAAAAAAAAAAuAgAAZHJzL2Uyb0RvYy54bWxQSwECLQAUAAYACAAAACEA7gEaDOEAAAAKAQAA&#10;DwAAAAAAAAAAAAAAAACVBAAAZHJzL2Rvd25yZXYueG1sUEsFBgAAAAAEAAQA8wAAAKMFAAAAAA==&#10;" filled="f" stroked="f" strokeweight=".5pt">
              <v:path arrowok="t"/>
              <v:textbox>
                <w:txbxContent>
                  <w:p w:rsidR="00F23FCF" w:rsidRPr="00F23FCF" w:rsidRDefault="006F5CB5" w:rsidP="00F23FCF">
                    <w:pPr>
                      <w:pStyle w:val="FooterTXT"/>
                    </w:pPr>
                    <w:r>
                      <w:t xml:space="preserve">Ул. </w:t>
                    </w:r>
                    <w:r w:rsidRPr="006F5CB5">
                      <w:t>„</w:t>
                    </w:r>
                    <w:r w:rsidR="008B7E98">
                      <w:t>Даме Груев</w:t>
                    </w:r>
                    <w:r w:rsidRPr="006F5CB5">
                      <w:t xml:space="preserve">“ бр. </w:t>
                    </w:r>
                    <w:r w:rsidR="00645900">
                      <w:t>6</w:t>
                    </w:r>
                    <w:r w:rsidR="003C3AC5">
                      <w:t xml:space="preserve">, </w:t>
                    </w:r>
                    <w:r w:rsidR="00F23FCF" w:rsidRPr="00F23FCF">
                      <w:t xml:space="preserve">Скопје </w:t>
                    </w:r>
                  </w:p>
                  <w:p w:rsidR="00F23FCF" w:rsidRPr="00F23FCF" w:rsidRDefault="00F23FCF" w:rsidP="00F23FCF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297180</wp:posOffset>
              </wp:positionH>
              <wp:positionV relativeFrom="paragraph">
                <wp:posOffset>-397510</wp:posOffset>
              </wp:positionV>
              <wp:extent cx="2054860" cy="36449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364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200A4" w:rsidRDefault="008B7E98" w:rsidP="00F23FCF">
                          <w:pPr>
                            <w:pStyle w:val="FooterTXT"/>
                          </w:pPr>
                          <w:r w:rsidRPr="008B7E98">
                            <w:t xml:space="preserve">Министерство за транспорт и врски </w:t>
                          </w:r>
                          <w:r w:rsidR="00F23FCF" w:rsidRPr="00F23FCF">
                            <w:t>н</w:t>
                          </w:r>
                          <w:r w:rsidR="00E200A4">
                            <w:t>а</w:t>
                          </w:r>
                        </w:p>
                        <w:p w:rsidR="00F23FCF" w:rsidRPr="00F23FCF" w:rsidRDefault="00F23FCF" w:rsidP="00F23FCF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2" o:spid="_x0000_s1029" type="#_x0000_t202" style="position:absolute;left:0;text-align:left;margin-left:23.4pt;margin-top:-31.3pt;width:161.8pt;height:2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HkPAIAAHUEAAAOAAAAZHJzL2Uyb0RvYy54bWysVN9v2jAQfp+0/8Hy+0iAwNqIULFWTJNQ&#10;WwmmPhvHJtFin2cbku6v39kJFHV7mvbi+Hzf/fzusrjrVENOwroadEHHo5QSoTmUtT4U9Ptu/emG&#10;EueZLlkDWhT0VTh6t/z4YdGaXEyggqYUlqAT7fLWFLTy3uRJ4nglFHMjMEKjUoJVzKNoD0lpWYve&#10;VZNM0nSetGBLY4EL5/D1oVfSZfQvpeD+SUonPGkKirn5eNp47sOZLBcsP1hmqpoPabB/yEKxWmPQ&#10;i6sH5hk52voPV6rmFhxIP+KgEpCy5iLWgNWM03fVbCtmRKwFm+PMpU3u/7nlj6dnS+qyoLMJJZop&#10;5GgnOk++QEfwCfvTGpcjbGsQ6Dt8R55jrc5sgP9wCEmuML2BQ3ToRyetCl+slKAhUvB6aXsIw/Fx&#10;ks6ymzmqOOqm8yy7jbwkb9bGOv9VgCLhUlCLtMYM2GnjfIjP8jMkBNOwrpsmUtto0hZ0Pp2l0eCi&#10;QYtGD4n3uYYSfLfvYjOm58L3UL5i3Rb6yXGGr2vMYcOcf2YWRwXTxvH3T3jIBjAWDDdKKrC//vYe&#10;8MggailpcfQK6n4emRWUNN80cns7zrIwq1HIZp8nKNhrzf5ao4/qHnC6x7hohsdrwPvmfJUW1Atu&#10;ySpERRXTHGMXlHt7Fu59vxK4Z1ysVhGG82mY3+it4WfCQ4933QuzZiDCI4WPcB5Tlr/jo8f2jKyO&#10;HmQdyQqd7vs6EICzHTkc9jAsz7UcUW9/i+VvAAAA//8DAFBLAwQUAAYACAAAACEA22+uBeEAAAAJ&#10;AQAADwAAAGRycy9kb3ducmV2LnhtbEyPzU7DMBCE70i8g7VIXFDrkIYUhTgVqvgTQkINfYBNvCQR&#10;8TrETht4eswJjjs7mvkm38ymFwcaXWdZweUyAkFcW91xo2D/dr+4BuE8ssbeMin4Igeb4vQkx0zb&#10;I+/oUPpGhBB2GSpovR8yKV3dkkG3tANx+L3b0aAP59hIPeIxhJtexlGUSoMdh4YWB9q2VH+Uk1HA&#10;n8PL9uJuKr8r85CsHjt83T89K3V+Nt/egPA0+z8z/OIHdCgCU2Un1k70CpI0kHsFizROQQTDah0l&#10;IKqgXMUgi1z+X1D8AAAA//8DAFBLAQItABQABgAIAAAAIQC2gziS/gAAAOEBAAATAAAAAAAAAAAA&#10;AAAAAAAAAABbQ29udGVudF9UeXBlc10ueG1sUEsBAi0AFAAGAAgAAAAhADj9If/WAAAAlAEAAAsA&#10;AAAAAAAAAAAAAAAALwEAAF9yZWxzLy5yZWxzUEsBAi0AFAAGAAgAAAAhAEVgoeQ8AgAAdQQAAA4A&#10;AAAAAAAAAAAAAAAALgIAAGRycy9lMm9Eb2MueG1sUEsBAi0AFAAGAAgAAAAhANtvrgXhAAAACQEA&#10;AA8AAAAAAAAAAAAAAAAAlgQAAGRycy9kb3ducmV2LnhtbFBLBQYAAAAABAAEAPMAAACkBQAAAAA=&#10;" filled="f" stroked="f" strokeweight=".5pt">
              <v:path arrowok="t"/>
              <v:textbox>
                <w:txbxContent>
                  <w:p w:rsidR="00E200A4" w:rsidRDefault="008B7E98" w:rsidP="00F23FCF">
                    <w:pPr>
                      <w:pStyle w:val="FooterTXT"/>
                    </w:pPr>
                    <w:r w:rsidRPr="008B7E98">
                      <w:t xml:space="preserve">Министерство за транспорт и врски </w:t>
                    </w:r>
                    <w:r w:rsidR="00F23FCF" w:rsidRPr="00F23FCF">
                      <w:t>н</w:t>
                    </w:r>
                    <w:r w:rsidR="00E200A4">
                      <w:t>а</w:t>
                    </w:r>
                  </w:p>
                  <w:p w:rsidR="00F23FCF" w:rsidRPr="00F23FCF" w:rsidRDefault="00F23FCF" w:rsidP="00F23FCF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-381635</wp:posOffset>
              </wp:positionH>
              <wp:positionV relativeFrom="paragraph">
                <wp:posOffset>-360045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9655D" w:rsidRPr="0059655D" w:rsidRDefault="00D62D15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="0059655D"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653EE7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30" type="#_x0000_t202" style="position:absolute;left:0;text-align:left;margin-left:-30.05pt;margin-top:-28.35pt;width:38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BJOQIAAHQEAAAOAAAAZHJzL2Uyb0RvYy54bWysVF1v2jAUfZ+0/2D5fSRQ2rURoWKtmCah&#10;thJUfTaOA9ESX882JOzX79iBlnV7mvbi2L7H9+OcezO57Zqa7ZV1FemcDwcpZ0pLKiq9yfnzav7p&#10;mjPnhS5ETVrl/KAcv51+/DBpTaZGtKW6UJbBiXZZa3K+9d5kSeLkVjXCDcgoDWNJthEeR7tJCita&#10;eG/qZJSmV0lLtjCWpHIOt/e9kU+j/7JU0j+WpVOe1TlHbj6uNq7rsCbTicg2VphtJY9piH/IohGV&#10;RtBXV/fCC7az1R+umkpaclT6gaQmobKspIo1oJph+q6a5VYYFWsBOc680uT+n1v5sH+yrCpyfgl6&#10;tGig0Up1nn2hjuEK/LTGZYAtDYC+wz10jrU6syD53QGSnGH6Bw7owEdX2iZ8USnDQ8Q4vNIewkhc&#10;jm+G4xtYJEwX6fg6jWGTt8fGOv9VUcPCJucWqsYExH7hfAgvshMkxNI0r+o6Kltr1ub86gKV/GbB&#10;i1of8+5TDRX4bt1FLsanutdUHFC2pb5xnJHzCjkshPNPwqJTkDa63z9iKWtCLDruONuS/fm3+4CH&#10;gLBy1qLzcu5+7IRVnNXfNKQFG2O49fEwvvw8wsGeW9bnFr1r7gjNPcScGRm3Ae/r07a01LxgSGYh&#10;KkxCS8TOufT2dLjz/URgzKSazSIM7WmEX+ilkSe9A8er7kVYcxTCQ8EHOnWpyN7p0WN73mc7T2UV&#10;xQpM97weBUBrRw2PYxhm5/wcUW8/i+kvAAAA//8DAFBLAwQUAAYACAAAACEAfNBmTOAAAAAJAQAA&#10;DwAAAGRycy9kb3ducmV2LnhtbEyP20rDQBCG7wXfYRnBG2k3tZqUmE2R4gkRpGkfYJMdk2B2NmY3&#10;bfTpnV7p3Rw+/vkmW0+2EwccfOtIwWIegUCqnGmpVrDfPc5WIHzQZHTnCBV8o4d1fn6W6dS4I23x&#10;UIRacAj5VCtoQuhTKX3VoNV+7nok3n24werA7VBLM+gjh9tOXkdRLK1uiS80usdNg9VnMVoF9NW/&#10;ba4exuKntE83y+dWv+9fXpW6vJju70AEnMIfDCd9VoecnUo3kvGiUzCLowWjXNzGCYgTkSxBlDxY&#10;JSDzTP7/IP8FAAD//wMAUEsBAi0AFAAGAAgAAAAhALaDOJL+AAAA4QEAABMAAAAAAAAAAAAAAAAA&#10;AAAAAFtDb250ZW50X1R5cGVzXS54bWxQSwECLQAUAAYACAAAACEAOP0h/9YAAACUAQAACwAAAAAA&#10;AAAAAAAAAAAvAQAAX3JlbHMvLnJlbHNQSwECLQAUAAYACAAAACEAD4AASTkCAAB0BAAADgAAAAAA&#10;AAAAAAAAAAAuAgAAZHJzL2Uyb0RvYy54bWxQSwECLQAUAAYACAAAACEAfNBmTOAAAAAJAQAADwAA&#10;AAAAAAAAAAAAAACTBAAAZHJzL2Rvd25yZXYueG1sUEsFBgAAAAAEAAQA8wAAAKAFAAAAAA==&#10;" filled="f" stroked="f" strokeweight=".5pt">
              <v:path arrowok="t"/>
              <v:textbox>
                <w:txbxContent>
                  <w:p w:rsidR="0059655D" w:rsidRPr="0059655D" w:rsidRDefault="00D62D15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="0059655D"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653EE7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191134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1905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5A5A5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3C326E" id="Straight Connector 51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sI5gEAACsEAAAOAAAAZHJzL2Uyb0RvYy54bWysU9uK2zAQfS/0H4TeGyeh6RYTZylZti9L&#10;G7rbD1BkKRaVNGKkxs7fdyQ77vZCoaUEREYz58yco/H2dnCWnRVGA77hq8WSM+UltMafGv756f7V&#10;W85iEr4VFrxq+EVFfrt7+WLbh1qtoQPbKmRE4mPdh4Z3KYW6qqLslBNxAUF5SmpAJxKFeKpaFD2x&#10;O1utl8s3VQ/YBgSpYqTbuzHJd4VfayXTR62jSsw2nGZL5cRyHvNZ7baiPqEInZHTGOIfpnDCeGo6&#10;U92JJNhXNL9QOSMRIui0kOAq0NpIVTSQmtXyJzWPnQiqaCFzYphtiv+PVn44H5CZtuGbFWdeOHqj&#10;x4TCnLrE9uA9OQjIKElO9SHWBNj7A2atcvCP4QHkl0i56odkDmIYywaNLpeTWDYU5y+z82pITI6X&#10;km5fb27oUXOrStRXXMCY3itwLP9puDU+eyJqcX6IaSy9luRr61lPm7i+IaIcR7CmvTfWlgBPx71F&#10;dha0D5t3+Td1e1ZGva2fFI0iipx0sWps8ElpsozGXo0d8rKqmVZIqXwqhhUmqs4wTSPMwGm0PwGn&#10;+gxVZZH/BjwjSmfwaQY74wF/N3YariPrsf7qwKg7W3CE9nLA62PTRpZ3mr6evPLP4wL//o3vvgEA&#10;AP//AwBQSwMEFAAGAAgAAAAhAPbcNq3cAAAABwEAAA8AAABkcnMvZG93bnJldi54bWxMjsFOwzAM&#10;hu9IvENkJG5buoHKVJpOHRIHkABtg3vWmLZq43RN2nVvj9kFTpb9f/r9pevJtmLE3teOFCzmEQik&#10;wpmaSgWf++fZCoQPmoxuHaGCM3pYZ9dXqU6MO9EWx10oBZeQT7SCKoQukdIXFVrt565D4uzb9VYH&#10;XvtSml6fuNy2chlFsbS6Jv5Q6Q6fKiya3WAVfL11w/i+bbB4+Fjm+9y8vmyao1K3N1P+CCLgFP5g&#10;+NVndcjY6eAGMl60Cu6iBZMKZvHqHgQDl8OBZwwyS+V//+wHAAD//wMAUEsBAi0AFAAGAAgAAAAh&#10;ALaDOJL+AAAA4QEAABMAAAAAAAAAAAAAAAAAAAAAAFtDb250ZW50X1R5cGVzXS54bWxQSwECLQAU&#10;AAYACAAAACEAOP0h/9YAAACUAQAACwAAAAAAAAAAAAAAAAAvAQAAX3JlbHMvLnJlbHNQSwECLQAU&#10;AAYACAAAACEAiIJLCOYBAAArBAAADgAAAAAAAAAAAAAAAAAuAgAAZHJzL2Uyb0RvYy54bWxQSwEC&#10;LQAUAAYACAAAACEA9tw2rdwAAAAHAQAADwAAAAAAAAAAAAAAAABABAAAZHJzL2Rvd25yZXYueG1s&#10;UEsFBgAAAAAEAAQA8wAAAEkFAAAAAA==&#10;" strokecolor="#5a5a5a" strokeweight="1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C7F" w:rsidRDefault="007F5C7F" w:rsidP="00DC5C24">
      <w:r>
        <w:separator/>
      </w:r>
    </w:p>
  </w:footnote>
  <w:footnote w:type="continuationSeparator" w:id="0">
    <w:p w:rsidR="007F5C7F" w:rsidRDefault="007F5C7F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404" w:rsidRPr="000F2E5D" w:rsidRDefault="007F5C7F" w:rsidP="00DC5C24"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C24" w:rsidRDefault="00E91867" w:rsidP="00001E20">
    <w:pPr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-152400</wp:posOffset>
              </wp:positionH>
              <wp:positionV relativeFrom="paragraph">
                <wp:posOffset>1238250</wp:posOffset>
              </wp:positionV>
              <wp:extent cx="6143625" cy="533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815E3" w:rsidRPr="00EA02EA" w:rsidRDefault="00E74245" w:rsidP="00A10845">
                          <w:pPr>
                            <w:pStyle w:val="HeaderTXT"/>
                          </w:pPr>
                          <w:r>
                            <w:t>Сектор за патен сообраќај и инфраструктура</w:t>
                          </w:r>
                        </w:p>
                        <w:p w:rsidR="00906251" w:rsidRPr="003C3AC5" w:rsidRDefault="00906251" w:rsidP="00A10845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2pt;margin-top:97.5pt;width:483.75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8BNgIAAGoEAAAOAAAAZHJzL2Uyb0RvYy54bWysVEuP0zAQviPxHyzfadL0AURNV2VXRUjV&#10;7kot2rPr2E1E7DG226T8esZO2q0WToiLM/Z88/xmsrjrVENOwroadEHHo5QSoTmUtT4U9Ptu/eET&#10;Jc4zXbIGtCjoWTh6t3z/btGaXGRQQVMKS9CJdnlrClp5b/IkcbwSirkRGKFRKcEq5vFqD0lpWYve&#10;VZNkaTpPWrClscCFc/j60CvpMvqXUnD/JKUTnjQFxdx8PG089+FMlguWHywzVc2HNNg/ZKFYrTHo&#10;1dUD84wcbf2HK1VzCw6kH3FQCUhZcxFrwGrG6ZtqthUzItaCzXHm2ib3/9zyx9OzJXVZ0IwSzRRS&#10;tBOdJ1+gI1noTmtcjqCtQZjv8BlZjpU6swH+wyEkucH0Bg7RoRudtCp8sU6ChkjA+dr0EIXj43w8&#10;ncyzGSUcdbPJZJpGVpJXa2Od/ypAkSAU1CKpMQN22jgf4rP8AgnBNKzrponENpq0GGEyS6PBVYMW&#10;jR4S73MNJfhu3w0V76E8Y8EW+oFxhq9rDL5hzj8zixOCpeDU+yc8ZAMYBAaJkgrsr7+9BzwSh1pK&#10;Wpy4grqfR2YFJc03jZR+Hk+nYUTjZTr7mOHF3mr2txp9VPeAQz3G/TI8igHvm4soLagXXI5ViIoq&#10;pjnGLqi/iPe+3wNcLi5WqwjCoTTMb/TW8AvPobW77oVZM/TfI3OPcJlNlr+hocf2RKyOHmQdOQoN&#10;7rs69B0HOlI3LF/YmNt7RL3+Ipa/AQAA//8DAFBLAwQUAAYACAAAACEA06zuG+EAAAALAQAADwAA&#10;AGRycy9kb3ducmV2LnhtbEyPwU7DMBBE70j8g7VI3FqH0NImxKkqBBckVFEqIW7beIkDsR1stw1/&#10;z3KC245mNPumWo22F0cKsfNOwdU0A0Gu8bpzrYLdy8NkCSImdBp770jBN0VY1ednFZban9wzHbep&#10;FVziYokKTEpDKWVsDFmMUz+QY+/dB4uJZWilDnjictvLPMtupMXO8QeDA90Zaj63B6tgsXzT5iM8&#10;jrvXp/WX2Qyyv0ep1OXFuL4FkWhMf2H4xWd0qJlp7w9OR9ErmOQz3pLYKOZ8cKKYXc9B7BXkiyID&#10;WVfy/4b6BwAA//8DAFBLAQItABQABgAIAAAAIQC2gziS/gAAAOEBAAATAAAAAAAAAAAAAAAAAAAA&#10;AABbQ29udGVudF9UeXBlc10ueG1sUEsBAi0AFAAGAAgAAAAhADj9If/WAAAAlAEAAAsAAAAAAAAA&#10;AAAAAAAALwEAAF9yZWxzLy5yZWxzUEsBAi0AFAAGAAgAAAAhAM9bLwE2AgAAagQAAA4AAAAAAAAA&#10;AAAAAAAALgIAAGRycy9lMm9Eb2MueG1sUEsBAi0AFAAGAAgAAAAhANOs7hvhAAAACwEAAA8AAAAA&#10;AAAAAAAAAAAAkAQAAGRycy9kb3ducmV2LnhtbFBLBQYAAAAABAAEAPMAAACeBQAAAAA=&#10;" filled="f" stroked="f" strokeweight=".5pt">
              <v:path arrowok="t"/>
              <v:textbox>
                <w:txbxContent>
                  <w:p w:rsidR="007815E3" w:rsidRPr="00EA02EA" w:rsidRDefault="00E74245" w:rsidP="00A10845">
                    <w:pPr>
                      <w:pStyle w:val="HeaderTXT"/>
                    </w:pPr>
                    <w:r>
                      <w:t>Сектор за патен сообраќај и инфраструктура</w:t>
                    </w:r>
                  </w:p>
                  <w:p w:rsidR="00906251" w:rsidRPr="003C3AC5" w:rsidRDefault="00906251" w:rsidP="00A10845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 w:rsidR="008B7E98">
      <w:rPr>
        <w:noProof/>
        <w:lang w:val="en-US" w:eastAsia="en-US"/>
      </w:rPr>
      <w:drawing>
        <wp:inline distT="0" distB="0" distL="0" distR="0">
          <wp:extent cx="2673030" cy="15544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_Logo_MTV_V_C_M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030" cy="155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6251" w:rsidRDefault="007F5C7F" w:rsidP="00001E20">
    <w:pPr>
      <w:jc w:val="center"/>
    </w:pPr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33664;mso-position-horizontal-relative:margin;mso-position-vertical-relative:margin" o:allowincell="f">
          <v:imagedata r:id="rId2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404" w:rsidRPr="000F2E5D" w:rsidRDefault="007F5C7F" w:rsidP="00DC5C24"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72393"/>
    <w:multiLevelType w:val="hybridMultilevel"/>
    <w:tmpl w:val="E2849B9A"/>
    <w:lvl w:ilvl="0" w:tplc="042F000F">
      <w:start w:val="1"/>
      <w:numFmt w:val="decimal"/>
      <w:lvlText w:val="%1."/>
      <w:lvlJc w:val="left"/>
      <w:pPr>
        <w:ind w:left="900" w:hanging="360"/>
      </w:pPr>
    </w:lvl>
    <w:lvl w:ilvl="1" w:tplc="042F0019">
      <w:start w:val="1"/>
      <w:numFmt w:val="lowerLetter"/>
      <w:lvlText w:val="%2."/>
      <w:lvlJc w:val="left"/>
      <w:pPr>
        <w:ind w:left="1620" w:hanging="360"/>
      </w:pPr>
    </w:lvl>
    <w:lvl w:ilvl="2" w:tplc="042F001B">
      <w:start w:val="1"/>
      <w:numFmt w:val="lowerRoman"/>
      <w:lvlText w:val="%3."/>
      <w:lvlJc w:val="right"/>
      <w:pPr>
        <w:ind w:left="2340" w:hanging="180"/>
      </w:pPr>
    </w:lvl>
    <w:lvl w:ilvl="3" w:tplc="042F000F">
      <w:start w:val="1"/>
      <w:numFmt w:val="decimal"/>
      <w:lvlText w:val="%4."/>
      <w:lvlJc w:val="left"/>
      <w:pPr>
        <w:ind w:left="3060" w:hanging="360"/>
      </w:pPr>
    </w:lvl>
    <w:lvl w:ilvl="4" w:tplc="042F0019">
      <w:start w:val="1"/>
      <w:numFmt w:val="lowerLetter"/>
      <w:lvlText w:val="%5."/>
      <w:lvlJc w:val="left"/>
      <w:pPr>
        <w:ind w:left="3780" w:hanging="360"/>
      </w:pPr>
    </w:lvl>
    <w:lvl w:ilvl="5" w:tplc="042F001B">
      <w:start w:val="1"/>
      <w:numFmt w:val="lowerRoman"/>
      <w:lvlText w:val="%6."/>
      <w:lvlJc w:val="right"/>
      <w:pPr>
        <w:ind w:left="4500" w:hanging="180"/>
      </w:pPr>
    </w:lvl>
    <w:lvl w:ilvl="6" w:tplc="042F000F">
      <w:start w:val="1"/>
      <w:numFmt w:val="decimal"/>
      <w:lvlText w:val="%7."/>
      <w:lvlJc w:val="left"/>
      <w:pPr>
        <w:ind w:left="5220" w:hanging="360"/>
      </w:pPr>
    </w:lvl>
    <w:lvl w:ilvl="7" w:tplc="042F0019">
      <w:start w:val="1"/>
      <w:numFmt w:val="lowerLetter"/>
      <w:lvlText w:val="%8."/>
      <w:lvlJc w:val="left"/>
      <w:pPr>
        <w:ind w:left="5940" w:hanging="360"/>
      </w:pPr>
    </w:lvl>
    <w:lvl w:ilvl="8" w:tplc="042F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BB73F83"/>
    <w:multiLevelType w:val="hybridMultilevel"/>
    <w:tmpl w:val="2AE06076"/>
    <w:lvl w:ilvl="0" w:tplc="12C466C6">
      <w:numFmt w:val="bullet"/>
      <w:lvlText w:val="-"/>
      <w:lvlJc w:val="left"/>
      <w:pPr>
        <w:ind w:left="104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3">
    <w:nsid w:val="5FFB5D53"/>
    <w:multiLevelType w:val="hybridMultilevel"/>
    <w:tmpl w:val="E97026FE"/>
    <w:lvl w:ilvl="0" w:tplc="9B7C76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5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49"/>
    <w:rsid w:val="00001514"/>
    <w:rsid w:val="000019FD"/>
    <w:rsid w:val="00001E20"/>
    <w:rsid w:val="00002503"/>
    <w:rsid w:val="00011F23"/>
    <w:rsid w:val="0001539F"/>
    <w:rsid w:val="00015F9C"/>
    <w:rsid w:val="00021B2A"/>
    <w:rsid w:val="0002642F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95595"/>
    <w:rsid w:val="000C07EB"/>
    <w:rsid w:val="000C2208"/>
    <w:rsid w:val="000C28D5"/>
    <w:rsid w:val="000D0BC8"/>
    <w:rsid w:val="000D124E"/>
    <w:rsid w:val="000D27A1"/>
    <w:rsid w:val="000D361B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777B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CBE"/>
    <w:rsid w:val="00155786"/>
    <w:rsid w:val="001565F6"/>
    <w:rsid w:val="00157487"/>
    <w:rsid w:val="0015755C"/>
    <w:rsid w:val="001617CA"/>
    <w:rsid w:val="00161B63"/>
    <w:rsid w:val="00166A70"/>
    <w:rsid w:val="00167DF4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A05C4"/>
    <w:rsid w:val="001A3FE7"/>
    <w:rsid w:val="001A42B7"/>
    <w:rsid w:val="001A60E6"/>
    <w:rsid w:val="001B0B35"/>
    <w:rsid w:val="001B4B6E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2FFF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602F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317D"/>
    <w:rsid w:val="00286BCB"/>
    <w:rsid w:val="00293A36"/>
    <w:rsid w:val="00293CD0"/>
    <w:rsid w:val="0029627D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27B9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186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2F3A"/>
    <w:rsid w:val="00370ACF"/>
    <w:rsid w:val="0037394C"/>
    <w:rsid w:val="00376AD4"/>
    <w:rsid w:val="0038599F"/>
    <w:rsid w:val="00386382"/>
    <w:rsid w:val="0038648B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2EFA"/>
    <w:rsid w:val="00414062"/>
    <w:rsid w:val="0042743A"/>
    <w:rsid w:val="00432017"/>
    <w:rsid w:val="00432203"/>
    <w:rsid w:val="00434FA3"/>
    <w:rsid w:val="00436EBF"/>
    <w:rsid w:val="004408E6"/>
    <w:rsid w:val="004436BA"/>
    <w:rsid w:val="004448AA"/>
    <w:rsid w:val="00446B71"/>
    <w:rsid w:val="00453021"/>
    <w:rsid w:val="0045411D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73C8"/>
    <w:rsid w:val="004D2DDA"/>
    <w:rsid w:val="004D5837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2E6F"/>
    <w:rsid w:val="00527973"/>
    <w:rsid w:val="0054141A"/>
    <w:rsid w:val="005440D1"/>
    <w:rsid w:val="00547F59"/>
    <w:rsid w:val="00550992"/>
    <w:rsid w:val="0055550B"/>
    <w:rsid w:val="0056494A"/>
    <w:rsid w:val="00566FD3"/>
    <w:rsid w:val="00571F34"/>
    <w:rsid w:val="00575C0B"/>
    <w:rsid w:val="005778C0"/>
    <w:rsid w:val="0058672F"/>
    <w:rsid w:val="00586E47"/>
    <w:rsid w:val="0059655D"/>
    <w:rsid w:val="00596DD5"/>
    <w:rsid w:val="005A10C0"/>
    <w:rsid w:val="005A6822"/>
    <w:rsid w:val="005B53AA"/>
    <w:rsid w:val="005B5742"/>
    <w:rsid w:val="005B74AA"/>
    <w:rsid w:val="005C2488"/>
    <w:rsid w:val="005C2739"/>
    <w:rsid w:val="005C2CBE"/>
    <w:rsid w:val="005C4BFE"/>
    <w:rsid w:val="005D2528"/>
    <w:rsid w:val="005D5E28"/>
    <w:rsid w:val="005E0634"/>
    <w:rsid w:val="005E109F"/>
    <w:rsid w:val="005E3EE0"/>
    <w:rsid w:val="005E4B38"/>
    <w:rsid w:val="005E51BC"/>
    <w:rsid w:val="005E772C"/>
    <w:rsid w:val="005F26BB"/>
    <w:rsid w:val="005F3519"/>
    <w:rsid w:val="005F3D5F"/>
    <w:rsid w:val="0060076A"/>
    <w:rsid w:val="0060132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2C52"/>
    <w:rsid w:val="00633D01"/>
    <w:rsid w:val="00635F22"/>
    <w:rsid w:val="00635F8F"/>
    <w:rsid w:val="0064344D"/>
    <w:rsid w:val="00645900"/>
    <w:rsid w:val="00646411"/>
    <w:rsid w:val="00647EBF"/>
    <w:rsid w:val="00650646"/>
    <w:rsid w:val="00653EE7"/>
    <w:rsid w:val="00654330"/>
    <w:rsid w:val="00655D23"/>
    <w:rsid w:val="00661E32"/>
    <w:rsid w:val="00663FC9"/>
    <w:rsid w:val="006666AE"/>
    <w:rsid w:val="00666DD7"/>
    <w:rsid w:val="006714CC"/>
    <w:rsid w:val="006838E4"/>
    <w:rsid w:val="006865CF"/>
    <w:rsid w:val="00687367"/>
    <w:rsid w:val="006879FF"/>
    <w:rsid w:val="00693DEE"/>
    <w:rsid w:val="006A1AD2"/>
    <w:rsid w:val="006A248D"/>
    <w:rsid w:val="006B1580"/>
    <w:rsid w:val="006B1E2E"/>
    <w:rsid w:val="006B2357"/>
    <w:rsid w:val="006B4AB3"/>
    <w:rsid w:val="006B5EC1"/>
    <w:rsid w:val="006B7DB6"/>
    <w:rsid w:val="006C35E9"/>
    <w:rsid w:val="006C42D1"/>
    <w:rsid w:val="006C4ACE"/>
    <w:rsid w:val="006D030C"/>
    <w:rsid w:val="006D3724"/>
    <w:rsid w:val="006E0438"/>
    <w:rsid w:val="006E42AD"/>
    <w:rsid w:val="006F220C"/>
    <w:rsid w:val="006F23B7"/>
    <w:rsid w:val="006F5C2E"/>
    <w:rsid w:val="006F5CB5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3D7E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70DD5"/>
    <w:rsid w:val="00774C76"/>
    <w:rsid w:val="00775229"/>
    <w:rsid w:val="007809AD"/>
    <w:rsid w:val="007815E3"/>
    <w:rsid w:val="00782611"/>
    <w:rsid w:val="007838AD"/>
    <w:rsid w:val="00784DC5"/>
    <w:rsid w:val="00793DF8"/>
    <w:rsid w:val="007969BE"/>
    <w:rsid w:val="00797B18"/>
    <w:rsid w:val="007A7102"/>
    <w:rsid w:val="007B0E6E"/>
    <w:rsid w:val="007B29EB"/>
    <w:rsid w:val="007B3E13"/>
    <w:rsid w:val="007C05BC"/>
    <w:rsid w:val="007C1E57"/>
    <w:rsid w:val="007C55FF"/>
    <w:rsid w:val="007D28EC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4F7D"/>
    <w:rsid w:val="007F5C7F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42858"/>
    <w:rsid w:val="00844191"/>
    <w:rsid w:val="0084686B"/>
    <w:rsid w:val="00847D2C"/>
    <w:rsid w:val="00850723"/>
    <w:rsid w:val="00850F6A"/>
    <w:rsid w:val="008515D0"/>
    <w:rsid w:val="00854245"/>
    <w:rsid w:val="008620A1"/>
    <w:rsid w:val="00867CE5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8BD"/>
    <w:rsid w:val="008A586E"/>
    <w:rsid w:val="008B15B9"/>
    <w:rsid w:val="008B1C0D"/>
    <w:rsid w:val="008B2B1A"/>
    <w:rsid w:val="008B375D"/>
    <w:rsid w:val="008B50DE"/>
    <w:rsid w:val="008B7E98"/>
    <w:rsid w:val="008C0799"/>
    <w:rsid w:val="008C1E82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20380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57E9C"/>
    <w:rsid w:val="009603DE"/>
    <w:rsid w:val="00962AB2"/>
    <w:rsid w:val="00970C2E"/>
    <w:rsid w:val="009714F9"/>
    <w:rsid w:val="00972161"/>
    <w:rsid w:val="00974007"/>
    <w:rsid w:val="00974A48"/>
    <w:rsid w:val="009752D7"/>
    <w:rsid w:val="009771A9"/>
    <w:rsid w:val="0098169B"/>
    <w:rsid w:val="00981C9C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B0A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11B7"/>
    <w:rsid w:val="00AA61D0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142D"/>
    <w:rsid w:val="00AF2284"/>
    <w:rsid w:val="00AF3DA7"/>
    <w:rsid w:val="00AF47FC"/>
    <w:rsid w:val="00B00EFD"/>
    <w:rsid w:val="00B033A5"/>
    <w:rsid w:val="00B03FB7"/>
    <w:rsid w:val="00B07FD5"/>
    <w:rsid w:val="00B10127"/>
    <w:rsid w:val="00B11A29"/>
    <w:rsid w:val="00B11F49"/>
    <w:rsid w:val="00B12382"/>
    <w:rsid w:val="00B12F12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0C63"/>
    <w:rsid w:val="00B52BEE"/>
    <w:rsid w:val="00B539DD"/>
    <w:rsid w:val="00B53DB5"/>
    <w:rsid w:val="00B543EE"/>
    <w:rsid w:val="00B5562C"/>
    <w:rsid w:val="00B637E9"/>
    <w:rsid w:val="00B65A2E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B6A"/>
    <w:rsid w:val="00B964FA"/>
    <w:rsid w:val="00B96977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F2540"/>
    <w:rsid w:val="00BF2BB2"/>
    <w:rsid w:val="00BF3C1C"/>
    <w:rsid w:val="00BF3F59"/>
    <w:rsid w:val="00BF59F6"/>
    <w:rsid w:val="00C025C7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631B"/>
    <w:rsid w:val="00C668F5"/>
    <w:rsid w:val="00C67AE2"/>
    <w:rsid w:val="00C67F6E"/>
    <w:rsid w:val="00C700E4"/>
    <w:rsid w:val="00C70279"/>
    <w:rsid w:val="00C716B0"/>
    <w:rsid w:val="00C71DE9"/>
    <w:rsid w:val="00C76A3F"/>
    <w:rsid w:val="00C808CF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1A8"/>
    <w:rsid w:val="00CE32B4"/>
    <w:rsid w:val="00CE3E8E"/>
    <w:rsid w:val="00CF032E"/>
    <w:rsid w:val="00CF2016"/>
    <w:rsid w:val="00CF5ED5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4BC1"/>
    <w:rsid w:val="00D45205"/>
    <w:rsid w:val="00D460FE"/>
    <w:rsid w:val="00D47481"/>
    <w:rsid w:val="00D479C3"/>
    <w:rsid w:val="00D47B88"/>
    <w:rsid w:val="00D517F8"/>
    <w:rsid w:val="00D51EF3"/>
    <w:rsid w:val="00D521A7"/>
    <w:rsid w:val="00D5452F"/>
    <w:rsid w:val="00D55208"/>
    <w:rsid w:val="00D613A5"/>
    <w:rsid w:val="00D62D15"/>
    <w:rsid w:val="00D6337F"/>
    <w:rsid w:val="00D64C79"/>
    <w:rsid w:val="00D64E72"/>
    <w:rsid w:val="00D652AD"/>
    <w:rsid w:val="00D67F4F"/>
    <w:rsid w:val="00D712A7"/>
    <w:rsid w:val="00D75D63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C6E69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2E81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1F6D"/>
    <w:rsid w:val="00E74245"/>
    <w:rsid w:val="00E75B61"/>
    <w:rsid w:val="00E774DC"/>
    <w:rsid w:val="00E80D63"/>
    <w:rsid w:val="00E82267"/>
    <w:rsid w:val="00E87DF0"/>
    <w:rsid w:val="00E87F53"/>
    <w:rsid w:val="00E9032E"/>
    <w:rsid w:val="00E91867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27178"/>
    <w:rsid w:val="00F31702"/>
    <w:rsid w:val="00F31D30"/>
    <w:rsid w:val="00F33EA1"/>
    <w:rsid w:val="00F3418B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50A7"/>
    <w:rsid w:val="00F575C9"/>
    <w:rsid w:val="00F62E6E"/>
    <w:rsid w:val="00F65D2D"/>
    <w:rsid w:val="00F65F27"/>
    <w:rsid w:val="00F6744C"/>
    <w:rsid w:val="00F70241"/>
    <w:rsid w:val="00F70255"/>
    <w:rsid w:val="00F72063"/>
    <w:rsid w:val="00F73D16"/>
    <w:rsid w:val="00F77540"/>
    <w:rsid w:val="00F77613"/>
    <w:rsid w:val="00F85438"/>
    <w:rsid w:val="00F90858"/>
    <w:rsid w:val="00F90BB0"/>
    <w:rsid w:val="00F95079"/>
    <w:rsid w:val="00FA4C4C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26D5"/>
    <w:rsid w:val="00FC6818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58A2"/>
    <w:rsid w:val="00FF5F4B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,"/>
  <w:listSeparator w:val=";"/>
  <w15:docId w15:val="{B4E1E25C-1C07-475E-8098-39D280D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qFormat="1"/>
    <w:lsdException w:name="Salutation" w:lock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8B1C0D"/>
    <w:pPr>
      <w:ind w:firstLine="680"/>
    </w:pPr>
    <w:rPr>
      <w:sz w:val="20"/>
      <w:szCs w:val="20"/>
    </w:rPr>
  </w:style>
  <w:style w:type="paragraph" w:customStyle="1" w:styleId="a0">
    <w:name w:val="Субтекст"/>
    <w:basedOn w:val="a"/>
    <w:link w:val="Char1"/>
    <w:qFormat/>
    <w:rsid w:val="00BD2475"/>
    <w:rPr>
      <w:b/>
      <w:sz w:val="16"/>
    </w:rPr>
  </w:style>
  <w:style w:type="character" w:customStyle="1" w:styleId="Char0">
    <w:name w:val="Болд текст Char"/>
    <w:basedOn w:val="Heading1Char"/>
    <w:link w:val="a"/>
    <w:rsid w:val="008B1C0D"/>
    <w:rPr>
      <w:rFonts w:ascii="StobiSans Regular" w:hAnsi="StobiSans Regular"/>
      <w:b w:val="0"/>
      <w:sz w:val="28"/>
      <w:szCs w:val="26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/>
      <w:sz w:val="16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08EC3-CA97-461B-9D0F-20EFD1F3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7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Elena Atanasovska</cp:lastModifiedBy>
  <cp:revision>2</cp:revision>
  <cp:lastPrinted>2019-02-19T12:25:00Z</cp:lastPrinted>
  <dcterms:created xsi:type="dcterms:W3CDTF">2019-07-26T08:56:00Z</dcterms:created>
  <dcterms:modified xsi:type="dcterms:W3CDTF">2019-07-26T08:56:00Z</dcterms:modified>
</cp:coreProperties>
</file>